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22817">
      <w:pPr>
        <w:framePr w:wrap="around" w:vAnchor="margin" w:hAnchor="text" w:y="1"/>
        <w:jc w:val="center"/>
        <w:rPr>
          <w:rFonts w:hint="eastAsia"/>
          <w:b/>
          <w:sz w:val="36"/>
        </w:rPr>
      </w:pPr>
      <w:r>
        <w:rPr>
          <w:rFonts w:hint="eastAsia"/>
          <w:b/>
          <w:sz w:val="36"/>
        </w:rPr>
        <w:t>《</w:t>
      </w:r>
      <w:bookmarkStart w:id="0" w:name="_Toc12547"/>
      <w:r>
        <w:rPr>
          <w:rFonts w:hint="eastAsia"/>
          <w:b/>
          <w:sz w:val="36"/>
        </w:rPr>
        <w:t>失水事故条件下锆合金包壳材料性能试验方法</w:t>
      </w:r>
    </w:p>
    <w:p w14:paraId="3872BFA7">
      <w:pPr>
        <w:jc w:val="center"/>
        <w:rPr>
          <w:b/>
          <w:sz w:val="36"/>
        </w:rPr>
      </w:pPr>
      <w:r>
        <w:rPr>
          <w:rFonts w:hint="eastAsia"/>
          <w:b/>
          <w:sz w:val="36"/>
        </w:rPr>
        <w:t>第</w:t>
      </w:r>
      <w:r>
        <w:rPr>
          <w:rFonts w:hint="eastAsia"/>
          <w:b/>
          <w:sz w:val="36"/>
          <w:lang w:val="en-US" w:eastAsia="zh-CN"/>
        </w:rPr>
        <w:t>2</w:t>
      </w:r>
      <w:r>
        <w:rPr>
          <w:rFonts w:hint="eastAsia"/>
          <w:b/>
          <w:sz w:val="36"/>
        </w:rPr>
        <w:t>部分：</w:t>
      </w:r>
      <w:r>
        <w:rPr>
          <w:rFonts w:hint="eastAsia"/>
          <w:b/>
          <w:sz w:val="36"/>
          <w:lang w:val="en-US" w:eastAsia="zh-CN"/>
        </w:rPr>
        <w:t>LOCA</w:t>
      </w:r>
      <w:r>
        <w:rPr>
          <w:rFonts w:hint="eastAsia"/>
          <w:b/>
          <w:sz w:val="36"/>
        </w:rPr>
        <w:t>蠕变</w:t>
      </w:r>
      <w:bookmarkEnd w:id="0"/>
      <w:r>
        <w:rPr>
          <w:rFonts w:hint="eastAsia"/>
          <w:b/>
          <w:sz w:val="36"/>
          <w:lang w:val="en-US" w:eastAsia="zh-CN"/>
        </w:rPr>
        <w:t>试验</w:t>
      </w:r>
      <w:r>
        <w:rPr>
          <w:rFonts w:hint="eastAsia"/>
          <w:b/>
          <w:sz w:val="36"/>
        </w:rPr>
        <w:t>》编制说明</w:t>
      </w:r>
    </w:p>
    <w:p w14:paraId="53D1FF8D">
      <w:pPr>
        <w:jc w:val="center"/>
        <w:rPr>
          <w:b/>
          <w:sz w:val="36"/>
        </w:rPr>
      </w:pPr>
      <w:r>
        <w:rPr>
          <w:rFonts w:hint="eastAsia"/>
          <w:b/>
          <w:sz w:val="36"/>
        </w:rPr>
        <w:t>（征求意见稿）</w:t>
      </w:r>
    </w:p>
    <w:p w14:paraId="1A919FDF">
      <w:pPr>
        <w:outlineLvl w:val="0"/>
        <w:rPr>
          <w:b/>
          <w:sz w:val="28"/>
          <w:szCs w:val="28"/>
        </w:rPr>
      </w:pPr>
      <w:r>
        <w:rPr>
          <w:rFonts w:hint="eastAsia"/>
          <w:b/>
          <w:sz w:val="28"/>
          <w:szCs w:val="28"/>
        </w:rPr>
        <w:t>一、工作简况</w:t>
      </w:r>
    </w:p>
    <w:p w14:paraId="77EFEE6D">
      <w:pPr>
        <w:rPr>
          <w:b/>
        </w:rPr>
      </w:pPr>
      <w:r>
        <w:rPr>
          <w:rFonts w:hint="eastAsia"/>
          <w:b/>
        </w:rPr>
        <w:t>1、任务来源</w:t>
      </w:r>
    </w:p>
    <w:p w14:paraId="616536F2">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本标准由中国原子能科学研究院牵头编制，起草单位包括：</w:t>
      </w:r>
      <w:r>
        <w:rPr>
          <w:rFonts w:hint="eastAsia" w:ascii="宋体" w:hAnsi="宋体" w:eastAsia="宋体" w:cstheme="minorBidi"/>
          <w:kern w:val="2"/>
          <w:sz w:val="24"/>
          <w:szCs w:val="24"/>
          <w:lang w:val="en-US" w:eastAsia="zh-CN" w:bidi="ar-SA"/>
        </w:rPr>
        <w:t>中国原子能科学研究院、上海核工程研究设计院有限公司、中广核研究院有限公司、中国核动力研究设计院</w:t>
      </w:r>
      <w:r>
        <w:rPr>
          <w:rFonts w:hint="eastAsia"/>
        </w:rPr>
        <w:t>。</w:t>
      </w:r>
    </w:p>
    <w:p w14:paraId="6758B8FE">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本标准牵头单位中国原子能科学研究院于2024年11月29日与中国核能行业协会签订“失水事故条件下锆合金包壳材料性能评估方法第2部分：蠕变试验方法团体标准制修订技术咨询服务”合同。合同要求2024年12月29日前提交团标立项通过材料，2025年12月31日前提交标准正式发布文件或正式发布证明材料。</w:t>
      </w:r>
    </w:p>
    <w:p w14:paraId="17E3CC78">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lang w:val="en-US" w:eastAsia="zh-CN"/>
        </w:rPr>
      </w:pPr>
    </w:p>
    <w:p w14:paraId="6190752E">
      <w:pPr>
        <w:rPr>
          <w:b/>
        </w:rPr>
      </w:pPr>
      <w:r>
        <w:rPr>
          <w:rFonts w:hint="eastAsia"/>
          <w:b/>
        </w:rPr>
        <w:t>2、主要工作过程</w:t>
      </w:r>
    </w:p>
    <w:p w14:paraId="017D6718">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本标准的制定过程主要分为前期标准化研究、初稿编写阶段、征求意见稿编写阶段。</w:t>
      </w:r>
    </w:p>
    <w:p w14:paraId="19BDED6A">
      <w:pPr>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2.1前期标准化研究（2020年11月-2022年12月）</w:t>
      </w:r>
    </w:p>
    <w:p w14:paraId="23AC9A44">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2020年到2022年，由中国原子能科学研究院牵头开展了能源标准化研究项目《失水事故条件下锆合金包壳蠕变、爆破及长期冷却性能评估标准的研究》。相关主要研究内容包括：</w:t>
      </w:r>
    </w:p>
    <w:p w14:paraId="28683A69">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（1）调研国内外关于失水事故条件下锆合金包壳蠕变性能的评估方法，整理试验装置、试验流程、试验参数及其他主要影响因素。</w:t>
      </w:r>
    </w:p>
    <w:p w14:paraId="2D125717">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（2）试验装置与流程评估：采用定型的同种材料、相同的试验参数及相同的试验流程，在自主的装置上进行试验，与文献数据进行对比，评估拟采用的试验评估方法是否具备标准化特征。</w:t>
      </w:r>
    </w:p>
    <w:p w14:paraId="700935B0">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（3）试验参数评估：根据国内外公开文献中试验参数差异，对包壳内压、包壳温度、蒸汽流量等参数进行试验研究，评估其对试验结果的影响。</w:t>
      </w:r>
    </w:p>
    <w:p w14:paraId="1F503BA4">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（4）根据文献调研结论及试验验证结果，规范整体试验流程，提出我国拟采用的性能评估方法。</w:t>
      </w:r>
    </w:p>
    <w:p w14:paraId="22635010">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2023年6月21日，该标准化研究项目通过评审验收，验收意见认为该研究对压水堆核电燃料包壳用锆合金的性能评估具有指导意义。</w:t>
      </w:r>
    </w:p>
    <w:p w14:paraId="1D13A338">
      <w:pPr>
        <w:rPr>
          <w:rFonts w:hint="eastAsia"/>
          <w:lang w:val="en-US" w:eastAsia="zh-CN"/>
        </w:rPr>
      </w:pPr>
      <w:r>
        <w:rPr>
          <w:rFonts w:hint="eastAsia"/>
          <w:lang w:val="en-US" w:eastAsia="zh-CN"/>
        </w:rPr>
        <w:t>2.2初稿编写阶段（2023年1月-2024年11月）</w:t>
      </w:r>
    </w:p>
    <w:p w14:paraId="48CA72CB">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cstheme="minorBidi"/>
          <w:kern w:val="2"/>
          <w:sz w:val="24"/>
          <w:szCs w:val="24"/>
          <w:lang w:val="en-US" w:eastAsia="zh-CN" w:bidi="ar-SA"/>
        </w:rPr>
      </w:pPr>
      <w:r>
        <w:rPr>
          <w:rFonts w:hint="eastAsia" w:ascii="宋体" w:hAnsi="宋体" w:eastAsia="宋体" w:cstheme="minorBidi"/>
          <w:kern w:val="2"/>
          <w:sz w:val="24"/>
          <w:szCs w:val="24"/>
          <w:lang w:val="en-US" w:eastAsia="zh-CN" w:bidi="ar-SA"/>
        </w:rPr>
        <w:t>主要起草人根据能源标准化研究项目的研究成果，编制了《失水事故条件下锆合金包壳材料性能评估方法 第2部分：LOCA蠕变试验方法》标准草案。2024年12月6日召开了中国核能行业协会2024年团体标准立项评审会，标准立项通过</w:t>
      </w:r>
      <w:r>
        <w:rPr>
          <w:rFonts w:hint="eastAsia" w:cstheme="minorBidi"/>
          <w:kern w:val="2"/>
          <w:sz w:val="24"/>
          <w:szCs w:val="24"/>
          <w:lang w:val="en-US" w:eastAsia="zh-CN" w:bidi="ar-SA"/>
        </w:rPr>
        <w:t>。</w:t>
      </w:r>
    </w:p>
    <w:p w14:paraId="0ED9D8C2">
      <w:pPr>
        <w:outlineLvl w:val="0"/>
        <w:rPr>
          <w:rFonts w:hint="eastAsia" w:cs="宋体"/>
          <w:b w:val="0"/>
          <w:bCs w:val="0"/>
        </w:rPr>
      </w:pPr>
      <w:r>
        <w:rPr>
          <w:rFonts w:hint="eastAsia" w:cs="宋体"/>
          <w:b w:val="0"/>
          <w:bCs w:val="0"/>
        </w:rPr>
        <w:t>2.3征求意见稿编写阶段（202</w:t>
      </w:r>
      <w:r>
        <w:rPr>
          <w:rFonts w:hint="eastAsia" w:cs="宋体"/>
          <w:b w:val="0"/>
          <w:bCs w:val="0"/>
          <w:lang w:val="en-US" w:eastAsia="zh-CN"/>
        </w:rPr>
        <w:t>4</w:t>
      </w:r>
      <w:r>
        <w:rPr>
          <w:rFonts w:hint="eastAsia" w:cs="宋体"/>
          <w:b w:val="0"/>
          <w:bCs w:val="0"/>
        </w:rPr>
        <w:t>年</w:t>
      </w:r>
      <w:r>
        <w:rPr>
          <w:rFonts w:hint="eastAsia" w:cs="宋体"/>
          <w:b w:val="0"/>
          <w:bCs w:val="0"/>
          <w:lang w:val="en-US" w:eastAsia="zh-CN"/>
        </w:rPr>
        <w:t>12</w:t>
      </w:r>
      <w:r>
        <w:rPr>
          <w:rFonts w:hint="eastAsia" w:cs="宋体"/>
          <w:b w:val="0"/>
          <w:bCs w:val="0"/>
        </w:rPr>
        <w:t>月-202</w:t>
      </w:r>
      <w:r>
        <w:rPr>
          <w:rFonts w:hint="eastAsia" w:cs="宋体"/>
          <w:b w:val="0"/>
          <w:bCs w:val="0"/>
          <w:lang w:val="en-US" w:eastAsia="zh-CN"/>
        </w:rPr>
        <w:t>5</w:t>
      </w:r>
      <w:r>
        <w:rPr>
          <w:rFonts w:hint="eastAsia" w:cs="宋体"/>
          <w:b w:val="0"/>
          <w:bCs w:val="0"/>
        </w:rPr>
        <w:t>年1</w:t>
      </w:r>
      <w:r>
        <w:rPr>
          <w:rFonts w:hint="eastAsia" w:cs="宋体"/>
          <w:b w:val="0"/>
          <w:bCs w:val="0"/>
          <w:lang w:val="en-US" w:eastAsia="zh-CN"/>
        </w:rPr>
        <w:t>0</w:t>
      </w:r>
      <w:r>
        <w:rPr>
          <w:rFonts w:hint="eastAsia" w:cs="宋体"/>
          <w:b w:val="0"/>
          <w:bCs w:val="0"/>
        </w:rPr>
        <w:t>月）</w:t>
      </w:r>
    </w:p>
    <w:p w14:paraId="74309FD7">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cstheme="minorBidi"/>
          <w:kern w:val="2"/>
          <w:sz w:val="24"/>
          <w:szCs w:val="24"/>
          <w:lang w:val="en-US" w:eastAsia="zh-CN" w:bidi="ar-SA"/>
        </w:rPr>
      </w:pPr>
      <w:r>
        <w:rPr>
          <w:rFonts w:hint="eastAsia" w:ascii="宋体" w:hAnsi="宋体" w:eastAsia="宋体" w:cstheme="minorBidi"/>
          <w:kern w:val="2"/>
          <w:sz w:val="24"/>
          <w:szCs w:val="24"/>
          <w:lang w:val="en-US" w:eastAsia="zh-CN" w:bidi="ar-SA"/>
        </w:rPr>
        <w:t>主要起草人</w:t>
      </w:r>
      <w:r>
        <w:rPr>
          <w:rFonts w:hint="eastAsia" w:cstheme="minorBidi"/>
          <w:kern w:val="2"/>
          <w:sz w:val="24"/>
          <w:szCs w:val="24"/>
          <w:lang w:val="en-US" w:eastAsia="zh-CN" w:bidi="ar-SA"/>
        </w:rPr>
        <w:t>根据</w:t>
      </w:r>
      <w:r>
        <w:rPr>
          <w:rFonts w:hint="eastAsia" w:ascii="宋体" w:hAnsi="宋体" w:eastAsia="宋体" w:cstheme="minorBidi"/>
          <w:kern w:val="2"/>
          <w:sz w:val="24"/>
          <w:szCs w:val="24"/>
          <w:lang w:val="en-US" w:eastAsia="zh-CN" w:bidi="ar-SA"/>
        </w:rPr>
        <w:t>立项评审会</w:t>
      </w:r>
      <w:r>
        <w:rPr>
          <w:rFonts w:hint="eastAsia" w:cstheme="minorBidi"/>
          <w:kern w:val="2"/>
          <w:sz w:val="24"/>
          <w:szCs w:val="24"/>
          <w:lang w:val="en-US" w:eastAsia="zh-CN" w:bidi="ar-SA"/>
        </w:rPr>
        <w:t>专家修改建议对标准草案进行了修改，完成了包括标准名称、适用范围、术语定义、示意图、章节安排等内容改进，形成了</w:t>
      </w:r>
      <w:r>
        <w:rPr>
          <w:rFonts w:hint="eastAsia" w:ascii="宋体" w:hAnsi="宋体" w:eastAsia="宋体" w:cstheme="minorBidi"/>
          <w:kern w:val="2"/>
          <w:sz w:val="24"/>
          <w:szCs w:val="24"/>
          <w:lang w:val="en-US" w:eastAsia="zh-CN" w:bidi="ar-SA"/>
        </w:rPr>
        <w:t>《</w:t>
      </w:r>
      <w:r>
        <w:rPr>
          <w:rFonts w:hint="eastAsia" w:cstheme="minorBidi"/>
          <w:kern w:val="2"/>
          <w:sz w:val="24"/>
          <w:szCs w:val="24"/>
          <w:lang w:val="en-US" w:eastAsia="zh-CN" w:bidi="ar-SA"/>
        </w:rPr>
        <w:t xml:space="preserve">失水事故条件下锆合金包壳材料性能试验方法 </w:t>
      </w:r>
      <w:r>
        <w:rPr>
          <w:rFonts w:hint="eastAsia" w:ascii="宋体" w:hAnsi="宋体" w:eastAsia="宋体" w:cstheme="minorBidi"/>
          <w:kern w:val="2"/>
          <w:sz w:val="24"/>
          <w:szCs w:val="24"/>
          <w:lang w:val="en-US" w:eastAsia="zh-CN" w:bidi="ar-SA"/>
        </w:rPr>
        <w:t>第2部分：LOCA蠕变试验》</w:t>
      </w:r>
      <w:r>
        <w:rPr>
          <w:rFonts w:hint="eastAsia" w:cstheme="minorBidi"/>
          <w:kern w:val="2"/>
          <w:sz w:val="24"/>
          <w:szCs w:val="24"/>
          <w:lang w:val="en-US" w:eastAsia="zh-CN" w:bidi="ar-SA"/>
        </w:rPr>
        <w:t>标准征求意见稿。</w:t>
      </w:r>
    </w:p>
    <w:p w14:paraId="21B712D3">
      <w:pPr>
        <w:rPr>
          <w:rFonts w:hint="default" w:cstheme="minorBidi"/>
          <w:kern w:val="2"/>
          <w:sz w:val="24"/>
          <w:szCs w:val="24"/>
          <w:lang w:val="en-US" w:eastAsia="zh-CN" w:bidi="ar-SA"/>
        </w:rPr>
      </w:pPr>
    </w:p>
    <w:p w14:paraId="572E2034">
      <w:pPr>
        <w:rPr>
          <w:b/>
        </w:rPr>
      </w:pPr>
      <w:r>
        <w:rPr>
          <w:rFonts w:hint="eastAsia"/>
          <w:b/>
        </w:rPr>
        <w:t>3、</w:t>
      </w:r>
      <w:r>
        <w:rPr>
          <w:b/>
        </w:rPr>
        <w:t>主要参加单位和工作组成员及其所作的工作等</w:t>
      </w:r>
    </w:p>
    <w:p w14:paraId="781DC166">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color w:val="auto"/>
          <w:lang w:eastAsia="zh-CN"/>
        </w:rPr>
      </w:pPr>
      <w:r>
        <w:rPr>
          <w:rFonts w:hint="eastAsia"/>
          <w:color w:val="auto"/>
        </w:rPr>
        <w:t>中国原子能科学研究院</w:t>
      </w:r>
      <w:r>
        <w:rPr>
          <w:rFonts w:hint="eastAsia"/>
          <w:color w:val="auto"/>
          <w:lang w:eastAsia="zh-CN"/>
        </w:rPr>
        <w:t>基于具体开展的失水事故</w:t>
      </w:r>
      <w:r>
        <w:rPr>
          <w:rFonts w:hint="eastAsia"/>
          <w:color w:val="auto"/>
          <w:lang w:val="en-US" w:eastAsia="zh-CN"/>
        </w:rPr>
        <w:t>条件</w:t>
      </w:r>
      <w:r>
        <w:rPr>
          <w:rFonts w:hint="eastAsia"/>
          <w:color w:val="auto"/>
          <w:lang w:eastAsia="zh-CN"/>
        </w:rPr>
        <w:t>下锆合金包壳</w:t>
      </w:r>
      <w:r>
        <w:rPr>
          <w:rFonts w:hint="eastAsia"/>
          <w:color w:val="auto"/>
          <w:lang w:val="en-US" w:eastAsia="zh-CN"/>
        </w:rPr>
        <w:t>蠕变</w:t>
      </w:r>
      <w:r>
        <w:rPr>
          <w:rFonts w:hint="eastAsia"/>
          <w:color w:val="auto"/>
          <w:lang w:eastAsia="zh-CN"/>
        </w:rPr>
        <w:t>试验，为标准中试验方法描述提供了内容或修改意见。</w:t>
      </w:r>
    </w:p>
    <w:p w14:paraId="132AB740">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color w:val="auto"/>
          <w:lang w:val="en-US" w:eastAsia="zh-CN"/>
        </w:rPr>
      </w:pPr>
      <w:r>
        <w:rPr>
          <w:rFonts w:hint="eastAsia"/>
          <w:color w:val="auto"/>
        </w:rPr>
        <w:t>上海核工程研究设计院有限公司</w:t>
      </w:r>
      <w:r>
        <w:rPr>
          <w:rFonts w:hint="eastAsia"/>
          <w:color w:val="auto"/>
          <w:lang w:eastAsia="zh-CN"/>
        </w:rPr>
        <w:t>、</w:t>
      </w:r>
      <w:r>
        <w:rPr>
          <w:rFonts w:hint="eastAsia"/>
          <w:color w:val="auto"/>
        </w:rPr>
        <w:t>中广核研究院有限公司</w:t>
      </w:r>
      <w:r>
        <w:rPr>
          <w:rFonts w:hint="eastAsia"/>
          <w:color w:val="auto"/>
          <w:lang w:eastAsia="zh-CN"/>
        </w:rPr>
        <w:t>、</w:t>
      </w:r>
      <w:r>
        <w:rPr>
          <w:rFonts w:hint="eastAsia"/>
          <w:color w:val="auto"/>
        </w:rPr>
        <w:t>中国核动力研究设计院</w:t>
      </w:r>
      <w:r>
        <w:rPr>
          <w:rFonts w:hint="eastAsia"/>
          <w:color w:val="auto"/>
          <w:lang w:val="en-US" w:eastAsia="zh-CN"/>
        </w:rPr>
        <w:t>作为锆合金包壳LOCA蠕变试验结果的使用方，从需求的角度对标准撰写提供了意见。</w:t>
      </w:r>
    </w:p>
    <w:p w14:paraId="47D50E15">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color w:val="auto"/>
          <w:lang w:val="en-US" w:eastAsia="zh-CN"/>
        </w:rPr>
      </w:pPr>
    </w:p>
    <w:p w14:paraId="20D5FDF0">
      <w:pPr>
        <w:outlineLvl w:val="0"/>
        <w:rPr>
          <w:b/>
          <w:sz w:val="28"/>
          <w:szCs w:val="28"/>
        </w:rPr>
      </w:pPr>
      <w:r>
        <w:rPr>
          <w:rFonts w:hint="eastAsia"/>
          <w:b/>
          <w:sz w:val="28"/>
          <w:szCs w:val="28"/>
        </w:rPr>
        <w:t>二、标准编制原则和主要内容</w:t>
      </w:r>
    </w:p>
    <w:p w14:paraId="47233154">
      <w:pPr>
        <w:rPr>
          <w:b/>
        </w:rPr>
      </w:pPr>
      <w:r>
        <w:rPr>
          <w:rFonts w:hint="eastAsia"/>
          <w:b/>
        </w:rPr>
        <w:t>1、标准编制原则</w:t>
      </w:r>
    </w:p>
    <w:p w14:paraId="5EFC259B">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color w:val="auto"/>
        </w:rPr>
      </w:pPr>
      <w:r>
        <w:rPr>
          <w:rFonts w:hint="eastAsia"/>
          <w:i w:val="0"/>
          <w:iCs/>
          <w:color w:val="auto"/>
        </w:rPr>
        <w:t>本标准的修订符合核电行业设备可靠性评价方法发展的原则，本着先进性、科学性、合理性和可操作性的原则以及标准的目标、统一性、协调性、</w:t>
      </w:r>
      <w:r>
        <w:rPr>
          <w:i w:val="0"/>
          <w:iCs/>
          <w:color w:val="auto"/>
        </w:rPr>
        <w:t>实用性、一致性和</w:t>
      </w:r>
      <w:r>
        <w:rPr>
          <w:rFonts w:hint="eastAsia"/>
          <w:i w:val="0"/>
          <w:iCs/>
          <w:color w:val="auto"/>
        </w:rPr>
        <w:t>规范性原则来进行本标准的制定工作。</w:t>
      </w:r>
    </w:p>
    <w:p w14:paraId="070BA092">
      <w:pPr>
        <w:rPr>
          <w:i w:val="0"/>
          <w:iCs/>
          <w:color w:val="auto"/>
        </w:rPr>
      </w:pPr>
      <w:r>
        <w:rPr>
          <w:rFonts w:hint="eastAsia"/>
          <w:i w:val="0"/>
          <w:iCs/>
          <w:color w:val="auto"/>
        </w:rPr>
        <w:t>（</w:t>
      </w:r>
      <w:r>
        <w:rPr>
          <w:i w:val="0"/>
          <w:iCs/>
          <w:color w:val="auto"/>
        </w:rPr>
        <w:t>1）科学性</w:t>
      </w:r>
    </w:p>
    <w:p w14:paraId="1A5987DE">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szCs w:val="32"/>
        </w:rPr>
      </w:pPr>
      <w:r>
        <w:rPr>
          <w:rFonts w:hint="eastAsia"/>
        </w:rPr>
        <w:t>本标准编制前，首先开展了</w:t>
      </w:r>
      <w:r>
        <w:rPr>
          <w:rFonts w:hint="eastAsia"/>
          <w:szCs w:val="32"/>
        </w:rPr>
        <w:t>标准化研究项目《</w:t>
      </w:r>
      <w:r>
        <w:rPr>
          <w:rFonts w:hint="eastAsia"/>
          <w:lang w:val="en-US" w:eastAsia="zh-CN"/>
        </w:rPr>
        <w:t>失水事故条件下锆合金包壳蠕变、爆破及长期冷却性能评估标准的研究</w:t>
      </w:r>
      <w:r>
        <w:rPr>
          <w:rFonts w:hint="eastAsia"/>
          <w:szCs w:val="32"/>
        </w:rPr>
        <w:t>》，通过</w:t>
      </w:r>
      <w:r>
        <w:rPr>
          <w:rFonts w:hint="eastAsia"/>
          <w:szCs w:val="32"/>
          <w:lang w:val="en-US" w:eastAsia="zh-CN"/>
        </w:rPr>
        <w:t>调研及</w:t>
      </w:r>
      <w:r>
        <w:rPr>
          <w:rFonts w:hint="eastAsia"/>
          <w:szCs w:val="32"/>
        </w:rPr>
        <w:t>试验</w:t>
      </w:r>
      <w:r>
        <w:rPr>
          <w:rFonts w:hint="eastAsia"/>
          <w:szCs w:val="32"/>
          <w:lang w:val="en-US" w:eastAsia="zh-CN"/>
        </w:rPr>
        <w:t>方式</w:t>
      </w:r>
      <w:r>
        <w:rPr>
          <w:rFonts w:hint="eastAsia" w:eastAsia="宋体" w:cs="Times New Roman"/>
          <w:sz w:val="24"/>
          <w:szCs w:val="24"/>
          <w:lang w:val="en-US" w:eastAsia="zh-CN"/>
        </w:rPr>
        <w:t>对</w:t>
      </w:r>
      <w:r>
        <w:rPr>
          <w:rFonts w:hint="eastAsia" w:cs="Times New Roman"/>
          <w:sz w:val="24"/>
          <w:szCs w:val="24"/>
          <w:lang w:val="en-US" w:eastAsia="zh-CN"/>
        </w:rPr>
        <w:t>试验装置及</w:t>
      </w:r>
      <w:r>
        <w:rPr>
          <w:rFonts w:hint="eastAsia" w:eastAsia="宋体" w:cs="Times New Roman"/>
          <w:sz w:val="24"/>
          <w:szCs w:val="24"/>
          <w:lang w:val="en-US" w:eastAsia="zh-CN"/>
        </w:rPr>
        <w:t>可能影响</w:t>
      </w:r>
      <w:r>
        <w:rPr>
          <w:rFonts w:hint="eastAsia" w:cs="Times New Roman"/>
          <w:sz w:val="24"/>
          <w:szCs w:val="24"/>
          <w:lang w:val="en-US" w:eastAsia="zh-CN"/>
        </w:rPr>
        <w:t>LOCA</w:t>
      </w:r>
      <w:r>
        <w:rPr>
          <w:rFonts w:hint="eastAsia" w:eastAsia="宋体" w:cs="Times New Roman"/>
          <w:sz w:val="24"/>
          <w:szCs w:val="24"/>
          <w:lang w:val="en-US" w:eastAsia="zh-CN"/>
        </w:rPr>
        <w:t>蠕变试验结果准确性的几点因素开展了研究</w:t>
      </w:r>
      <w:r>
        <w:rPr>
          <w:rFonts w:hint="eastAsia"/>
          <w:szCs w:val="32"/>
        </w:rPr>
        <w:t>，为编制本</w:t>
      </w:r>
      <w:r>
        <w:rPr>
          <w:rFonts w:hint="eastAsia"/>
          <w:szCs w:val="32"/>
          <w:lang w:val="en-US" w:eastAsia="zh-CN"/>
        </w:rPr>
        <w:t>团体</w:t>
      </w:r>
      <w:r>
        <w:rPr>
          <w:rFonts w:hint="eastAsia"/>
          <w:szCs w:val="32"/>
        </w:rPr>
        <w:t>标准提供了科学基础。</w:t>
      </w:r>
    </w:p>
    <w:p w14:paraId="21FEEA22">
      <w:pPr>
        <w:rPr>
          <w:i w:val="0"/>
          <w:iCs/>
          <w:color w:val="0000FF"/>
        </w:rPr>
      </w:pPr>
      <w:r>
        <w:rPr>
          <w:rFonts w:hint="eastAsia"/>
          <w:i w:val="0"/>
          <w:iCs/>
          <w:color w:val="auto"/>
        </w:rPr>
        <w:t>（</w:t>
      </w:r>
      <w:r>
        <w:rPr>
          <w:i w:val="0"/>
          <w:iCs/>
          <w:color w:val="auto"/>
        </w:rPr>
        <w:t>2）实用性</w:t>
      </w:r>
    </w:p>
    <w:p w14:paraId="5A213402">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color w:val="0000FF"/>
        </w:rPr>
      </w:pPr>
      <w:r>
        <w:rPr>
          <w:rFonts w:hint="eastAsia"/>
        </w:rPr>
        <w:t>本标准的具体内容均来源于对国内三大核电集团新锆合金</w:t>
      </w:r>
      <w:r>
        <w:rPr>
          <w:rFonts w:hint="eastAsia"/>
          <w:lang w:val="en-US" w:eastAsia="zh-CN"/>
        </w:rPr>
        <w:t>失水</w:t>
      </w:r>
      <w:r>
        <w:rPr>
          <w:rFonts w:hint="eastAsia"/>
        </w:rPr>
        <w:t>事故性能评估试</w:t>
      </w:r>
      <w:r>
        <w:rPr>
          <w:rFonts w:hint="eastAsia"/>
          <w:color w:val="auto"/>
        </w:rPr>
        <w:t>验。</w:t>
      </w:r>
      <w:r>
        <w:rPr>
          <w:rFonts w:hint="eastAsia"/>
          <w:i w:val="0"/>
          <w:iCs/>
          <w:color w:val="auto"/>
        </w:rPr>
        <w:t>本标准规定了</w:t>
      </w:r>
      <w:r>
        <w:rPr>
          <w:rFonts w:hint="eastAsia"/>
          <w:i w:val="0"/>
          <w:iCs/>
          <w:color w:val="auto"/>
          <w:lang w:val="en-US" w:eastAsia="zh-CN"/>
        </w:rPr>
        <w:t>锆合金包壳LOCA蠕变试验方法</w:t>
      </w:r>
      <w:r>
        <w:rPr>
          <w:rFonts w:hint="eastAsia"/>
          <w:i w:val="0"/>
          <w:iCs/>
          <w:color w:val="auto"/>
        </w:rPr>
        <w:t>的全过程，对于试验设备</w:t>
      </w:r>
      <w:r>
        <w:rPr>
          <w:rFonts w:hint="eastAsia"/>
          <w:i w:val="0"/>
          <w:iCs/>
          <w:color w:val="auto"/>
          <w:lang w:val="en-US" w:eastAsia="zh-CN"/>
        </w:rPr>
        <w:t>、试样及试验步骤</w:t>
      </w:r>
      <w:r>
        <w:rPr>
          <w:rFonts w:hint="eastAsia"/>
          <w:i w:val="0"/>
          <w:iCs/>
          <w:color w:val="auto"/>
        </w:rPr>
        <w:t>等建立规范，以统一</w:t>
      </w:r>
      <w:r>
        <w:rPr>
          <w:rFonts w:hint="eastAsia"/>
          <w:i w:val="0"/>
          <w:iCs/>
          <w:color w:val="auto"/>
          <w:lang w:val="en-US" w:eastAsia="zh-CN"/>
        </w:rPr>
        <w:t>锆合金包壳LOCA蠕变试验</w:t>
      </w:r>
      <w:r>
        <w:rPr>
          <w:rFonts w:hint="eastAsia"/>
          <w:i w:val="0"/>
          <w:iCs/>
          <w:color w:val="auto"/>
        </w:rPr>
        <w:t>方法，使其向科学化、合理化方向迈进，减少</w:t>
      </w:r>
      <w:r>
        <w:rPr>
          <w:rFonts w:hint="eastAsia"/>
          <w:i w:val="0"/>
          <w:iCs/>
          <w:color w:val="auto"/>
          <w:lang w:val="en-US" w:eastAsia="zh-CN"/>
        </w:rPr>
        <w:t>锆合金包壳LOCA蠕变试验</w:t>
      </w:r>
      <w:r>
        <w:rPr>
          <w:rFonts w:hint="eastAsia"/>
          <w:i w:val="0"/>
          <w:iCs/>
          <w:color w:val="auto"/>
        </w:rPr>
        <w:t>的主观性、随意性，增加科学性、客观性，从而达到提高</w:t>
      </w:r>
      <w:r>
        <w:rPr>
          <w:rFonts w:hint="eastAsia"/>
          <w:color w:val="auto"/>
        </w:rPr>
        <w:t>失水事故条件下锆合金包壳材料性能</w:t>
      </w:r>
      <w:r>
        <w:rPr>
          <w:rFonts w:hint="eastAsia"/>
          <w:color w:val="auto"/>
          <w:lang w:val="en-US" w:eastAsia="zh-CN"/>
        </w:rPr>
        <w:t>评估</w:t>
      </w:r>
      <w:r>
        <w:rPr>
          <w:rFonts w:hint="eastAsia"/>
          <w:i w:val="0"/>
          <w:iCs/>
          <w:color w:val="auto"/>
        </w:rPr>
        <w:t>管控水平的目的。</w:t>
      </w:r>
    </w:p>
    <w:p w14:paraId="36E526AD">
      <w:pPr>
        <w:rPr>
          <w:rFonts w:hint="eastAsia"/>
          <w:i w:val="0"/>
          <w:iCs/>
          <w:color w:val="0000FF"/>
        </w:rPr>
      </w:pPr>
    </w:p>
    <w:p w14:paraId="00EE86BE">
      <w:pPr>
        <w:rPr>
          <w:b/>
        </w:rPr>
      </w:pPr>
      <w:r>
        <w:rPr>
          <w:rFonts w:hint="eastAsia"/>
          <w:b/>
        </w:rPr>
        <w:t>2、标准主要内容的依据</w:t>
      </w:r>
    </w:p>
    <w:p w14:paraId="03E0498B">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遵从</w:t>
      </w:r>
      <w:r>
        <w:t>GB/T 1.1-20</w:t>
      </w:r>
      <w:r>
        <w:rPr>
          <w:rFonts w:hint="eastAsia"/>
        </w:rPr>
        <w:t>20</w:t>
      </w:r>
      <w:r>
        <w:t>的要求，</w:t>
      </w:r>
      <w:r>
        <w:rPr>
          <w:rFonts w:hint="eastAsia"/>
        </w:rPr>
        <w:t>本标准的章节内容为：</w:t>
      </w:r>
    </w:p>
    <w:p w14:paraId="70FDF4FF">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前言，列出了本标准起草单位与</w:t>
      </w:r>
      <w:r>
        <w:rPr>
          <w:rFonts w:hint="eastAsia"/>
          <w:lang w:val="en-US" w:eastAsia="zh-CN"/>
        </w:rPr>
        <w:t>主要</w:t>
      </w:r>
      <w:r>
        <w:rPr>
          <w:rFonts w:hint="eastAsia"/>
        </w:rPr>
        <w:t>起草人。</w:t>
      </w:r>
    </w:p>
    <w:p w14:paraId="23880A81">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引言，介绍了系列标准5部分各自的编制目的。</w:t>
      </w:r>
    </w:p>
    <w:p w14:paraId="5AA4AE72">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范围，给出了本标准内容范围与适用范围。</w:t>
      </w:r>
    </w:p>
    <w:p w14:paraId="46A390B3">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术语和定义，主要规定了</w:t>
      </w:r>
      <w:r>
        <w:rPr>
          <w:rFonts w:hint="eastAsia"/>
          <w:lang w:val="en-US" w:eastAsia="zh-CN"/>
        </w:rPr>
        <w:t>失水事故</w:t>
      </w:r>
      <w:r>
        <w:rPr>
          <w:rFonts w:hint="eastAsia"/>
        </w:rPr>
        <w:t>、</w:t>
      </w:r>
      <w:r>
        <w:rPr>
          <w:rFonts w:hint="eastAsia"/>
          <w:lang w:val="en-US" w:eastAsia="zh-CN"/>
        </w:rPr>
        <w:t>蠕变</w:t>
      </w:r>
      <w:r>
        <w:rPr>
          <w:rFonts w:hint="eastAsia"/>
        </w:rPr>
        <w:t>、最大周长与总延伸率</w:t>
      </w:r>
      <w:r>
        <w:rPr>
          <w:rFonts w:hint="eastAsia"/>
          <w:lang w:eastAsia="zh-CN"/>
        </w:rPr>
        <w:t>、</w:t>
      </w:r>
      <w:r>
        <w:rPr>
          <w:rFonts w:hint="eastAsia"/>
        </w:rPr>
        <w:t>均匀周长与均匀延伸率的定义。</w:t>
      </w:r>
    </w:p>
    <w:p w14:paraId="235B1F59">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lang w:val="en-US" w:eastAsia="zh-CN"/>
        </w:rPr>
        <w:t>方法原理</w:t>
      </w:r>
      <w:r>
        <w:rPr>
          <w:rFonts w:hint="eastAsia"/>
          <w:highlight w:val="none"/>
        </w:rPr>
        <w:t>，整体介绍了该</w:t>
      </w:r>
      <w:r>
        <w:rPr>
          <w:rFonts w:hint="eastAsia"/>
          <w:highlight w:val="none"/>
          <w:lang w:val="en-US" w:eastAsia="zh-CN"/>
        </w:rPr>
        <w:t>试验方法</w:t>
      </w:r>
      <w:r>
        <w:rPr>
          <w:rFonts w:hint="eastAsia"/>
          <w:highlight w:val="none"/>
        </w:rPr>
        <w:t>的</w:t>
      </w:r>
      <w:r>
        <w:rPr>
          <w:rFonts w:hint="eastAsia"/>
          <w:highlight w:val="none"/>
          <w:lang w:val="en-US" w:eastAsia="zh-CN"/>
        </w:rPr>
        <w:t>原理</w:t>
      </w:r>
      <w:r>
        <w:rPr>
          <w:rFonts w:hint="eastAsia"/>
          <w:highlight w:val="none"/>
        </w:rPr>
        <w:t>。</w:t>
      </w:r>
    </w:p>
    <w:p w14:paraId="0A16A048">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试剂或材料，介绍了该试验过程中使用到的水、气体及清洗试剂。</w:t>
      </w:r>
    </w:p>
    <w:p w14:paraId="6CE45E4C">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仪器设备，详细介绍了LOCA蠕变试验装置相关要求，包括其加热方式、加压方式、温度控制与测量、压力控制与测量、外径测量、产生蒸汽的用水、蒸汽流速与压力，简单介绍了尺寸测量工具、超声清洗机、干燥箱的要求。</w:t>
      </w:r>
    </w:p>
    <w:p w14:paraId="247E1E01">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试样，详细介绍了材料类别、尺寸规格、试样长度、尺寸测量、清洗与烘干要求。</w:t>
      </w:r>
    </w:p>
    <w:p w14:paraId="54D8F3A7">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宋体"/>
          <w:szCs w:val="20"/>
          <w:lang w:val="en-US" w:eastAsia="zh-CN" w:bidi="ar"/>
        </w:rPr>
      </w:pPr>
      <w:r>
        <w:rPr>
          <w:rFonts w:hint="eastAsia"/>
          <w:highlight w:val="none"/>
          <w:lang w:val="en-US" w:eastAsia="zh-CN"/>
        </w:rPr>
        <w:t>试验步骤，介绍了</w:t>
      </w:r>
      <w:r>
        <w:rPr>
          <w:rFonts w:hint="eastAsia" w:ascii="宋体"/>
          <w:szCs w:val="20"/>
          <w:highlight w:val="none"/>
          <w:lang w:val="en-US" w:eastAsia="zh-CN" w:bidi="ar"/>
        </w:rPr>
        <w:t>试验</w:t>
      </w:r>
      <w:r>
        <w:rPr>
          <w:rFonts w:ascii="宋体"/>
          <w:szCs w:val="20"/>
          <w:highlight w:val="none"/>
          <w:lang w:bidi="ar"/>
        </w:rPr>
        <w:t>温度与</w:t>
      </w:r>
      <w:r>
        <w:rPr>
          <w:rFonts w:hint="eastAsia" w:ascii="宋体"/>
          <w:szCs w:val="20"/>
          <w:lang w:val="en-US" w:eastAsia="zh-CN" w:bidi="ar"/>
        </w:rPr>
        <w:t>试验压力</w:t>
      </w:r>
      <w:r>
        <w:rPr>
          <w:rFonts w:hint="eastAsia"/>
          <w:szCs w:val="20"/>
          <w:lang w:val="en-US" w:eastAsia="zh-CN" w:bidi="ar"/>
        </w:rPr>
        <w:t>的选择范围与方法</w:t>
      </w:r>
      <w:bookmarkStart w:id="1" w:name="_Toc464408471"/>
      <w:r>
        <w:rPr>
          <w:rFonts w:hint="eastAsia"/>
          <w:szCs w:val="20"/>
          <w:lang w:val="en-US" w:eastAsia="zh-CN" w:bidi="ar"/>
        </w:rPr>
        <w:t>，规定了试样</w:t>
      </w:r>
      <w:r>
        <w:rPr>
          <w:rFonts w:hint="eastAsia" w:ascii="宋体"/>
          <w:szCs w:val="20"/>
          <w:lang w:val="en-US" w:eastAsia="zh-CN" w:bidi="ar"/>
        </w:rPr>
        <w:t>升温、</w:t>
      </w:r>
      <w:bookmarkEnd w:id="1"/>
      <w:r>
        <w:rPr>
          <w:rFonts w:hint="eastAsia" w:ascii="宋体"/>
          <w:szCs w:val="20"/>
          <w:lang w:val="en-US" w:eastAsia="zh-CN" w:bidi="ar"/>
        </w:rPr>
        <w:t>保温、升压及保压</w:t>
      </w:r>
      <w:bookmarkStart w:id="2" w:name="_Toc464408475"/>
      <w:bookmarkStart w:id="3" w:name="OLE_LINK48"/>
      <w:r>
        <w:rPr>
          <w:rFonts w:hint="eastAsia"/>
          <w:szCs w:val="20"/>
          <w:lang w:val="en-US" w:eastAsia="zh-CN" w:bidi="ar"/>
        </w:rPr>
        <w:t>过程中温度与压力的要求，规定了</w:t>
      </w:r>
      <w:r>
        <w:rPr>
          <w:rFonts w:hint="eastAsia" w:ascii="宋体"/>
          <w:szCs w:val="20"/>
          <w:lang w:val="en-US" w:eastAsia="zh-CN" w:bidi="ar"/>
        </w:rPr>
        <w:t>LOCA蠕变试验</w:t>
      </w:r>
      <w:r>
        <w:rPr>
          <w:rFonts w:hint="eastAsia"/>
          <w:szCs w:val="20"/>
          <w:lang w:val="en-US" w:eastAsia="zh-CN" w:bidi="ar"/>
        </w:rPr>
        <w:t>详细</w:t>
      </w:r>
      <w:r>
        <w:rPr>
          <w:rFonts w:hint="eastAsia" w:ascii="宋体"/>
          <w:szCs w:val="20"/>
          <w:lang w:val="en-US" w:eastAsia="zh-CN" w:bidi="ar"/>
        </w:rPr>
        <w:t>步骤</w:t>
      </w:r>
      <w:bookmarkEnd w:id="2"/>
      <w:r>
        <w:rPr>
          <w:rFonts w:hint="eastAsia"/>
          <w:szCs w:val="20"/>
          <w:lang w:val="en-US" w:eastAsia="zh-CN" w:bidi="ar"/>
        </w:rPr>
        <w:t>要求。</w:t>
      </w:r>
    </w:p>
    <w:p w14:paraId="387D4C0F">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宋体"/>
          <w:szCs w:val="20"/>
          <w:lang w:val="en-US" w:eastAsia="zh-CN" w:bidi="ar"/>
        </w:rPr>
      </w:pPr>
      <w:r>
        <w:rPr>
          <w:rFonts w:hint="eastAsia"/>
          <w:szCs w:val="20"/>
          <w:lang w:val="en-US" w:eastAsia="zh-CN" w:bidi="ar"/>
        </w:rPr>
        <w:t>试验报告，规定了报告至少应给出的几个方面内容。</w:t>
      </w:r>
    </w:p>
    <w:bookmarkEnd w:id="3"/>
    <w:p w14:paraId="0E62425F">
      <w:pPr>
        <w:rPr>
          <w:rFonts w:hint="eastAsia"/>
          <w:color w:val="0000FF"/>
        </w:rPr>
      </w:pPr>
    </w:p>
    <w:p w14:paraId="783A352A">
      <w:pPr>
        <w:rPr>
          <w:b/>
        </w:rPr>
      </w:pPr>
      <w:r>
        <w:rPr>
          <w:rFonts w:hint="eastAsia"/>
          <w:b/>
        </w:rPr>
        <w:t>3、解决的主要问题</w:t>
      </w:r>
    </w:p>
    <w:p w14:paraId="48CD0B6F">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szCs w:val="32"/>
          <w:highlight w:val="none"/>
        </w:rPr>
      </w:pPr>
      <w:r>
        <w:rPr>
          <w:rFonts w:hint="eastAsia"/>
          <w:szCs w:val="32"/>
          <w:highlight w:val="none"/>
        </w:rPr>
        <w:t>锆合金包壳材料在</w:t>
      </w:r>
      <w:r>
        <w:rPr>
          <w:rFonts w:hint="eastAsia"/>
          <w:szCs w:val="32"/>
          <w:highlight w:val="none"/>
          <w:lang w:val="en-US" w:eastAsia="zh-CN"/>
        </w:rPr>
        <w:t>失水</w:t>
      </w:r>
      <w:r>
        <w:rPr>
          <w:rFonts w:hint="eastAsia"/>
          <w:szCs w:val="32"/>
          <w:highlight w:val="none"/>
        </w:rPr>
        <w:t>事故工况下的性能与在正常工况下的各项性能一样，都是锆合金材料研发、燃料及反应堆设计的重要依据。</w:t>
      </w:r>
      <w:r>
        <w:rPr>
          <w:rFonts w:hint="eastAsia"/>
          <w:highlight w:val="none"/>
        </w:rPr>
        <w:t>国内外一直缺乏</w:t>
      </w:r>
      <w:r>
        <w:rPr>
          <w:rFonts w:hint="eastAsia"/>
          <w:szCs w:val="32"/>
          <w:highlight w:val="none"/>
        </w:rPr>
        <w:t>方便可行</w:t>
      </w:r>
      <w:r>
        <w:rPr>
          <w:rFonts w:hint="eastAsia"/>
          <w:highlight w:val="none"/>
        </w:rPr>
        <w:t>的</w:t>
      </w:r>
      <w:r>
        <w:rPr>
          <w:rFonts w:hint="eastAsia"/>
          <w:highlight w:val="none"/>
          <w:lang w:val="en-US" w:eastAsia="zh-CN"/>
        </w:rPr>
        <w:t>失水事故条件下材料</w:t>
      </w:r>
      <w:r>
        <w:rPr>
          <w:rFonts w:hint="eastAsia"/>
          <w:highlight w:val="none"/>
        </w:rPr>
        <w:t>性能试验标准。</w:t>
      </w:r>
      <w:r>
        <w:rPr>
          <w:rFonts w:hint="eastAsia"/>
          <w:szCs w:val="32"/>
          <w:highlight w:val="none"/>
        </w:rPr>
        <w:t>经本团队</w:t>
      </w:r>
      <w:r>
        <w:rPr>
          <w:rFonts w:hint="eastAsia"/>
          <w:szCs w:val="32"/>
          <w:highlight w:val="none"/>
          <w:lang w:val="en-US" w:eastAsia="zh-CN"/>
        </w:rPr>
        <w:t>试验及</w:t>
      </w:r>
      <w:r>
        <w:rPr>
          <w:rFonts w:hint="eastAsia"/>
          <w:szCs w:val="32"/>
          <w:highlight w:val="none"/>
        </w:rPr>
        <w:t>标准化研究，认为</w:t>
      </w:r>
      <w:r>
        <w:rPr>
          <w:rFonts w:hint="eastAsia"/>
          <w:szCs w:val="32"/>
          <w:highlight w:val="none"/>
          <w:lang w:val="en-US" w:eastAsia="zh-CN"/>
        </w:rPr>
        <w:t>可以制定LOCA蠕变试验方法的标准</w:t>
      </w:r>
      <w:r>
        <w:rPr>
          <w:rFonts w:hint="eastAsia"/>
          <w:szCs w:val="32"/>
          <w:highlight w:val="none"/>
        </w:rPr>
        <w:t>。</w:t>
      </w:r>
    </w:p>
    <w:p w14:paraId="6842CD44">
      <w:pPr>
        <w:ind w:firstLine="480" w:firstLineChars="200"/>
        <w:rPr>
          <w:rFonts w:hint="eastAsia"/>
          <w:szCs w:val="32"/>
          <w:highlight w:val="none"/>
        </w:rPr>
      </w:pPr>
      <w:r>
        <w:rPr>
          <w:rFonts w:hint="eastAsia"/>
          <w:szCs w:val="32"/>
          <w:highlight w:val="none"/>
        </w:rPr>
        <w:t>本标准的制定将解决上述需求，针对失水事故条件下锆</w:t>
      </w:r>
      <w:r>
        <w:rPr>
          <w:rFonts w:hint="eastAsia"/>
          <w:szCs w:val="32"/>
          <w:highlight w:val="none"/>
          <w:lang w:val="en-US" w:eastAsia="zh-CN"/>
        </w:rPr>
        <w:t>合金</w:t>
      </w:r>
      <w:r>
        <w:rPr>
          <w:rFonts w:hint="eastAsia"/>
          <w:szCs w:val="32"/>
          <w:highlight w:val="none"/>
        </w:rPr>
        <w:t>包壳</w:t>
      </w:r>
      <w:r>
        <w:rPr>
          <w:rFonts w:hint="eastAsia"/>
          <w:szCs w:val="32"/>
          <w:highlight w:val="none"/>
          <w:lang w:val="en-US" w:eastAsia="zh-CN"/>
        </w:rPr>
        <w:t>蠕变性能数据需求</w:t>
      </w:r>
      <w:r>
        <w:rPr>
          <w:rFonts w:hint="eastAsia"/>
          <w:szCs w:val="32"/>
          <w:highlight w:val="none"/>
        </w:rPr>
        <w:t>，给出可接受的具有可重复性</w:t>
      </w:r>
      <w:r>
        <w:rPr>
          <w:rFonts w:hint="eastAsia"/>
          <w:szCs w:val="32"/>
          <w:highlight w:val="none"/>
          <w:lang w:val="en-US" w:eastAsia="zh-CN"/>
        </w:rPr>
        <w:t>的LOCA蠕变性能测试</w:t>
      </w:r>
      <w:r>
        <w:rPr>
          <w:rFonts w:hint="eastAsia"/>
          <w:szCs w:val="32"/>
          <w:highlight w:val="none"/>
        </w:rPr>
        <w:t>方法，具备自主知识产权。</w:t>
      </w:r>
    </w:p>
    <w:p w14:paraId="09C92ECB">
      <w:pPr>
        <w:rPr>
          <w:rFonts w:hint="eastAsia"/>
        </w:rPr>
      </w:pPr>
    </w:p>
    <w:p w14:paraId="67313798">
      <w:pPr>
        <w:outlineLvl w:val="0"/>
        <w:rPr>
          <w:b/>
          <w:sz w:val="28"/>
          <w:szCs w:val="28"/>
        </w:rPr>
      </w:pPr>
      <w:r>
        <w:rPr>
          <w:rFonts w:hint="eastAsia"/>
          <w:b/>
          <w:sz w:val="28"/>
          <w:szCs w:val="28"/>
        </w:rPr>
        <w:t>三、主要试验（或验证）情况</w:t>
      </w:r>
    </w:p>
    <w:p w14:paraId="6BA52DF4">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rPr>
        <w:t>开展了如下试验（或验证）：</w:t>
      </w:r>
    </w:p>
    <w:p w14:paraId="0A00AE7D">
      <w:pPr>
        <w:numPr>
          <w:ilvl w:val="0"/>
          <w:numId w:val="2"/>
        </w:numPr>
        <w:rPr>
          <w:rFonts w:hint="eastAsia"/>
          <w:highlight w:val="none"/>
          <w:lang w:val="en-US" w:eastAsia="zh-CN"/>
        </w:rPr>
      </w:pPr>
      <w:r>
        <w:rPr>
          <w:rFonts w:hint="eastAsia"/>
          <w:highlight w:val="none"/>
          <w:lang w:val="en-US" w:eastAsia="zh-CN"/>
        </w:rPr>
        <w:t>试验装置与流程评估：采用与文献同种装置、同种材料、相同的试验参数及相同的试验流程，在自主的装置上进行试验，与文献数据进行对比，评估拟采用的试验方法是否具备标准化特征。</w:t>
      </w:r>
    </w:p>
    <w:p w14:paraId="69F5907D">
      <w:pPr>
        <w:numPr>
          <w:ilvl w:val="0"/>
          <w:numId w:val="3"/>
        </w:numPr>
        <w:rPr>
          <w:rFonts w:hint="eastAsia"/>
          <w:highlight w:val="none"/>
        </w:rPr>
      </w:pPr>
      <w:r>
        <w:rPr>
          <w:rFonts w:hint="eastAsia"/>
          <w:highlight w:val="none"/>
          <w:lang w:val="en-US" w:eastAsia="zh-CN"/>
        </w:rPr>
        <w:t>试验参数评估：对</w:t>
      </w:r>
      <w:bookmarkStart w:id="4" w:name="OLE_LINK7"/>
      <w:r>
        <w:rPr>
          <w:rFonts w:hint="eastAsia"/>
          <w:highlight w:val="none"/>
          <w:lang w:val="en-US" w:eastAsia="zh-CN"/>
        </w:rPr>
        <w:t>试样</w:t>
      </w:r>
      <w:r>
        <w:rPr>
          <w:rFonts w:hint="default"/>
          <w:sz w:val="24"/>
          <w:szCs w:val="24"/>
          <w:highlight w:val="none"/>
          <w:lang w:val="en-US" w:eastAsia="zh-CN"/>
        </w:rPr>
        <w:t>升温升压顺序</w:t>
      </w:r>
      <w:bookmarkEnd w:id="4"/>
      <w:r>
        <w:rPr>
          <w:rFonts w:hint="eastAsia"/>
          <w:highlight w:val="none"/>
          <w:lang w:val="en-US" w:eastAsia="zh-CN"/>
        </w:rPr>
        <w:t>、</w:t>
      </w:r>
      <w:r>
        <w:rPr>
          <w:rFonts w:hint="default"/>
          <w:sz w:val="24"/>
          <w:szCs w:val="24"/>
          <w:highlight w:val="none"/>
          <w:lang w:val="en-US" w:eastAsia="zh-CN"/>
        </w:rPr>
        <w:t>升温过程</w:t>
      </w:r>
      <w:r>
        <w:rPr>
          <w:rFonts w:hint="eastAsia"/>
          <w:highlight w:val="none"/>
          <w:lang w:val="en-US" w:eastAsia="zh-CN"/>
        </w:rPr>
        <w:t>、</w:t>
      </w:r>
      <w:r>
        <w:rPr>
          <w:rFonts w:hint="default"/>
          <w:sz w:val="24"/>
          <w:szCs w:val="24"/>
          <w:highlight w:val="none"/>
          <w:lang w:val="en-US" w:eastAsia="zh-CN"/>
        </w:rPr>
        <w:t>保温时长</w:t>
      </w:r>
      <w:r>
        <w:rPr>
          <w:rFonts w:hint="eastAsia"/>
          <w:sz w:val="24"/>
          <w:szCs w:val="24"/>
          <w:highlight w:val="none"/>
          <w:lang w:val="en-US" w:eastAsia="zh-CN"/>
        </w:rPr>
        <w:t>、</w:t>
      </w:r>
      <w:r>
        <w:rPr>
          <w:rFonts w:hint="eastAsia"/>
          <w:highlight w:val="none"/>
          <w:lang w:val="en-US" w:eastAsia="zh-CN"/>
        </w:rPr>
        <w:t>蒸汽流量等参数进行试验研究，评估其对试验结果的影响。</w:t>
      </w:r>
    </w:p>
    <w:p w14:paraId="3C5E77E8">
      <w:pPr>
        <w:keepNext w:val="0"/>
        <w:keepLines w:val="0"/>
        <w:pageBreakBefore w:val="0"/>
        <w:widowControl/>
        <w:kinsoku/>
        <w:wordWrap/>
        <w:overflowPunct/>
        <w:topLinePunct w:val="0"/>
        <w:autoSpaceDE/>
        <w:autoSpaceDN/>
        <w:bidi w:val="0"/>
        <w:adjustRightInd/>
        <w:snapToGrid/>
        <w:ind w:left="0" w:firstLine="480" w:firstLineChars="200"/>
        <w:textAlignment w:val="auto"/>
        <w:rPr>
          <w:highlight w:val="none"/>
        </w:rPr>
      </w:pPr>
      <w:r>
        <w:rPr>
          <w:rFonts w:hint="eastAsia"/>
          <w:highlight w:val="none"/>
        </w:rPr>
        <w:t>通过上述试验（或验证），获得如下结论支撑本标准编制：</w:t>
      </w:r>
    </w:p>
    <w:p w14:paraId="2114ED53">
      <w:pPr>
        <w:numPr>
          <w:ilvl w:val="0"/>
          <w:numId w:val="4"/>
        </w:numPr>
        <w:rPr>
          <w:rFonts w:hint="eastAsia"/>
          <w:highlight w:val="none"/>
          <w:lang w:val="en-US" w:eastAsia="zh-CN"/>
        </w:rPr>
      </w:pPr>
      <w:r>
        <w:rPr>
          <w:rFonts w:hint="eastAsia"/>
          <w:highlight w:val="none"/>
          <w:lang w:val="en-US" w:eastAsia="zh-CN"/>
        </w:rPr>
        <w:t>推荐采用试样直接电加热式试验装置，周向温差小</w:t>
      </w:r>
      <w:r>
        <w:rPr>
          <w:rFonts w:hint="eastAsia"/>
          <w:highlight w:val="none"/>
          <w:lang w:val="en-US" w:eastAsia="zh-CN"/>
        </w:rPr>
        <w:t>、成本低、易于实现。</w:t>
      </w:r>
      <w:bookmarkStart w:id="5" w:name="_GoBack"/>
      <w:bookmarkEnd w:id="5"/>
    </w:p>
    <w:p w14:paraId="1B42B6B0">
      <w:pPr>
        <w:numPr>
          <w:ilvl w:val="0"/>
          <w:numId w:val="4"/>
        </w:numPr>
        <w:rPr>
          <w:rFonts w:hint="eastAsia"/>
          <w:highlight w:val="none"/>
          <w:lang w:val="en-US" w:eastAsia="zh-CN"/>
        </w:rPr>
      </w:pPr>
      <w:r>
        <w:rPr>
          <w:rFonts w:hint="eastAsia"/>
          <w:highlight w:val="none"/>
          <w:lang w:val="en-US" w:eastAsia="zh-CN"/>
        </w:rPr>
        <w:t>推荐采用先升温至目标温度，稳定后快速升压至目标压力的试验流程。</w:t>
      </w:r>
    </w:p>
    <w:p w14:paraId="49F1EF0A">
      <w:pPr>
        <w:numPr>
          <w:ilvl w:val="0"/>
          <w:numId w:val="4"/>
        </w:numPr>
        <w:rPr>
          <w:rFonts w:hint="eastAsia"/>
          <w:highlight w:val="none"/>
          <w:lang w:val="en-US" w:eastAsia="zh-CN"/>
        </w:rPr>
      </w:pPr>
      <w:r>
        <w:rPr>
          <w:rFonts w:hint="eastAsia"/>
          <w:highlight w:val="none"/>
          <w:lang w:val="en-US" w:eastAsia="zh-CN"/>
        </w:rPr>
        <w:t>推荐</w:t>
      </w:r>
      <w:r>
        <w:rPr>
          <w:rFonts w:hint="eastAsia" w:cs="Times New Roman"/>
          <w:sz w:val="24"/>
          <w:szCs w:val="24"/>
          <w:highlight w:val="none"/>
          <w:lang w:val="en-US" w:eastAsia="zh-CN"/>
        </w:rPr>
        <w:t>蒸汽流速控制在略大于0.8 mg/(cm</w:t>
      </w:r>
      <w:r>
        <w:rPr>
          <w:rFonts w:hint="eastAsia" w:cs="Times New Roman"/>
          <w:sz w:val="24"/>
          <w:szCs w:val="24"/>
          <w:highlight w:val="none"/>
          <w:vertAlign w:val="superscript"/>
          <w:lang w:val="en-US" w:eastAsia="zh-CN"/>
        </w:rPr>
        <w:t>2</w:t>
      </w:r>
      <w:r>
        <w:rPr>
          <w:rFonts w:hint="eastAsia" w:cs="Times New Roman"/>
          <w:sz w:val="24"/>
          <w:szCs w:val="24"/>
          <w:highlight w:val="none"/>
          <w:lang w:val="en-US" w:eastAsia="zh-CN"/>
        </w:rPr>
        <w:t>∙s)，有利于获得试样均匀温度场。</w:t>
      </w:r>
    </w:p>
    <w:p w14:paraId="35D57474">
      <w:pPr>
        <w:numPr>
          <w:ilvl w:val="0"/>
          <w:numId w:val="0"/>
        </w:numPr>
        <w:rPr>
          <w:rFonts w:hint="eastAsia"/>
          <w:highlight w:val="none"/>
          <w:lang w:val="en-US" w:eastAsia="zh-CN"/>
        </w:rPr>
      </w:pPr>
    </w:p>
    <w:p w14:paraId="2C6D0654">
      <w:pPr>
        <w:outlineLvl w:val="0"/>
        <w:rPr>
          <w:b/>
          <w:sz w:val="28"/>
          <w:szCs w:val="28"/>
        </w:rPr>
      </w:pPr>
      <w:r>
        <w:rPr>
          <w:rFonts w:hint="eastAsia"/>
          <w:b/>
          <w:sz w:val="28"/>
          <w:szCs w:val="28"/>
        </w:rPr>
        <w:t>四、标准中涉及专利的情况</w:t>
      </w:r>
    </w:p>
    <w:p w14:paraId="253A2871">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rPr>
      </w:pPr>
      <w:r>
        <w:rPr>
          <w:rFonts w:hint="eastAsia"/>
          <w:i w:val="0"/>
          <w:iCs/>
        </w:rPr>
        <w:t>本标准不涉及专利问题。</w:t>
      </w:r>
    </w:p>
    <w:p w14:paraId="520DD0B3">
      <w:pPr>
        <w:rPr>
          <w:rFonts w:hint="eastAsia"/>
          <w:i w:val="0"/>
          <w:iCs/>
        </w:rPr>
      </w:pPr>
    </w:p>
    <w:p w14:paraId="46A97B90">
      <w:pPr>
        <w:outlineLvl w:val="0"/>
        <w:rPr>
          <w:b/>
          <w:sz w:val="28"/>
          <w:szCs w:val="28"/>
        </w:rPr>
      </w:pPr>
      <w:r>
        <w:rPr>
          <w:rFonts w:hint="eastAsia"/>
          <w:b/>
          <w:sz w:val="28"/>
          <w:szCs w:val="28"/>
        </w:rPr>
        <w:t>五、预期达到的社会效益、对产业发展的作用等情况</w:t>
      </w:r>
    </w:p>
    <w:p w14:paraId="5A2015BB">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szCs w:val="32"/>
        </w:rPr>
      </w:pPr>
      <w:r>
        <w:rPr>
          <w:rFonts w:hint="eastAsia" w:ascii="宋体" w:hAnsi="宋体"/>
          <w:szCs w:val="21"/>
        </w:rPr>
        <w:t>标准的制定与实施，</w:t>
      </w:r>
      <w:r>
        <w:rPr>
          <w:rFonts w:hint="eastAsia"/>
          <w:szCs w:val="32"/>
        </w:rPr>
        <w:t>预计</w:t>
      </w:r>
      <w:r>
        <w:rPr>
          <w:rFonts w:hint="eastAsia" w:ascii="宋体" w:hAnsi="宋体"/>
          <w:szCs w:val="21"/>
        </w:rPr>
        <w:t>将提升核电厂的安全性，具有明显的社会效益。</w:t>
      </w:r>
      <w:r>
        <w:rPr>
          <w:rFonts w:hint="eastAsia"/>
          <w:szCs w:val="32"/>
        </w:rPr>
        <w:t>本标准将支持燃料元件厂及核电厂对锆合金包壳的性能评估，有利于自主知识产权锆合金包壳的研发与生产。</w:t>
      </w:r>
    </w:p>
    <w:p w14:paraId="3E007BD5">
      <w:pPr>
        <w:rPr>
          <w:rFonts w:hint="eastAsia"/>
          <w:szCs w:val="32"/>
        </w:rPr>
      </w:pPr>
    </w:p>
    <w:p w14:paraId="15B2CE35">
      <w:pPr>
        <w:outlineLvl w:val="0"/>
        <w:rPr>
          <w:b/>
          <w:sz w:val="28"/>
          <w:szCs w:val="28"/>
        </w:rPr>
      </w:pPr>
      <w:r>
        <w:rPr>
          <w:rFonts w:hint="eastAsia"/>
          <w:b/>
          <w:sz w:val="28"/>
          <w:szCs w:val="28"/>
        </w:rPr>
        <w:t>六、与国际、国外对比情况</w:t>
      </w:r>
    </w:p>
    <w:p w14:paraId="7FA8B6C6">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lang w:val="en-US" w:eastAsia="zh-CN"/>
        </w:rPr>
        <w:t>国际、国外暂无相关标准</w:t>
      </w:r>
      <w:r>
        <w:rPr>
          <w:rFonts w:hint="eastAsia"/>
        </w:rPr>
        <w:t>。本标准编制</w:t>
      </w:r>
      <w:r>
        <w:rPr>
          <w:rFonts w:hint="eastAsia"/>
          <w:lang w:val="en-US" w:eastAsia="zh-CN"/>
        </w:rPr>
        <w:t>为</w:t>
      </w:r>
      <w:r>
        <w:rPr>
          <w:rFonts w:hint="eastAsia"/>
        </w:rPr>
        <w:t>国内首创。</w:t>
      </w:r>
    </w:p>
    <w:p w14:paraId="2E8B938A">
      <w:r>
        <w:rPr>
          <w:rFonts w:hint="eastAsia"/>
        </w:rPr>
        <w:t xml:space="preserve">    </w:t>
      </w:r>
    </w:p>
    <w:p w14:paraId="7A633A15">
      <w:pPr>
        <w:outlineLvl w:val="0"/>
        <w:rPr>
          <w:b/>
          <w:sz w:val="28"/>
          <w:szCs w:val="28"/>
        </w:rPr>
      </w:pPr>
      <w:r>
        <w:rPr>
          <w:rFonts w:hint="eastAsia"/>
          <w:b/>
          <w:sz w:val="28"/>
          <w:szCs w:val="28"/>
        </w:rPr>
        <w:t>七、在标准体系中的位置，与现行相关法律、法规、规章及标准，特别是强制性标准的协调性</w:t>
      </w:r>
    </w:p>
    <w:p w14:paraId="43290F1A">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rPr>
      </w:pPr>
      <w:r>
        <w:rPr>
          <w:rFonts w:hint="eastAsia"/>
          <w:i w:val="0"/>
          <w:iCs/>
        </w:rPr>
        <w:t>本标准与现行相关法律、法规、规章及相关标准协调一致。</w:t>
      </w:r>
    </w:p>
    <w:p w14:paraId="20B649AB">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rPr>
      </w:pPr>
    </w:p>
    <w:p w14:paraId="14BF4C02">
      <w:pPr>
        <w:outlineLvl w:val="0"/>
        <w:rPr>
          <w:b/>
          <w:sz w:val="28"/>
          <w:szCs w:val="28"/>
        </w:rPr>
      </w:pPr>
      <w:r>
        <w:rPr>
          <w:rFonts w:hint="eastAsia"/>
          <w:b/>
          <w:sz w:val="28"/>
          <w:szCs w:val="28"/>
        </w:rPr>
        <w:t>八、重大分歧意见的处理经过和依据</w:t>
      </w:r>
    </w:p>
    <w:p w14:paraId="7BAFBD65">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无</w:t>
      </w:r>
    </w:p>
    <w:p w14:paraId="42D1E425">
      <w:pPr>
        <w:rPr>
          <w:rFonts w:hint="eastAsia"/>
          <w:lang w:val="en-US" w:eastAsia="zh-CN"/>
        </w:rPr>
      </w:pPr>
    </w:p>
    <w:p w14:paraId="363B527E">
      <w:pPr>
        <w:outlineLvl w:val="0"/>
        <w:rPr>
          <w:b/>
          <w:sz w:val="28"/>
          <w:szCs w:val="28"/>
        </w:rPr>
      </w:pPr>
      <w:r>
        <w:rPr>
          <w:rFonts w:hint="eastAsia"/>
          <w:b/>
          <w:sz w:val="28"/>
          <w:szCs w:val="28"/>
        </w:rPr>
        <w:t>九、标准性质的建议说明</w:t>
      </w:r>
    </w:p>
    <w:p w14:paraId="20644660">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本标准的性质为团体标准。</w:t>
      </w:r>
    </w:p>
    <w:p w14:paraId="6CBB5E03">
      <w:pPr>
        <w:rPr>
          <w:rFonts w:hint="eastAsia"/>
        </w:rPr>
      </w:pPr>
    </w:p>
    <w:p w14:paraId="2936C706">
      <w:pPr>
        <w:outlineLvl w:val="0"/>
        <w:rPr>
          <w:b/>
          <w:sz w:val="28"/>
          <w:szCs w:val="28"/>
        </w:rPr>
      </w:pPr>
      <w:r>
        <w:rPr>
          <w:rFonts w:hint="eastAsia"/>
          <w:b/>
          <w:sz w:val="28"/>
          <w:szCs w:val="28"/>
        </w:rPr>
        <w:t>十、贯彻标准的要求和措施建议</w:t>
      </w:r>
    </w:p>
    <w:p w14:paraId="525E1A55">
      <w:pPr>
        <w:keepNext w:val="0"/>
        <w:keepLines w:val="0"/>
        <w:pageBreakBefore w:val="0"/>
        <w:widowControl/>
        <w:kinsoku/>
        <w:wordWrap/>
        <w:overflowPunct/>
        <w:topLinePunct w:val="0"/>
        <w:autoSpaceDE/>
        <w:autoSpaceDN/>
        <w:bidi w:val="0"/>
        <w:adjustRightInd/>
        <w:snapToGrid/>
        <w:ind w:firstLine="480" w:firstLineChars="200"/>
        <w:textAlignment w:val="auto"/>
        <w:outlineLvl w:val="0"/>
        <w:rPr>
          <w:rFonts w:hint="eastAsia"/>
        </w:rPr>
      </w:pPr>
      <w:r>
        <w:rPr>
          <w:rFonts w:hint="eastAsia"/>
        </w:rPr>
        <w:t>标准发布后，中国原子能科学研究院等参编单位将配合中国核能行业协会组织行业召开标准宣贯会，开展培训活动，促进该标准更好的贯彻实施。</w:t>
      </w:r>
    </w:p>
    <w:p w14:paraId="46BB5182">
      <w:pPr>
        <w:keepNext w:val="0"/>
        <w:keepLines w:val="0"/>
        <w:pageBreakBefore w:val="0"/>
        <w:widowControl/>
        <w:kinsoku/>
        <w:wordWrap/>
        <w:overflowPunct/>
        <w:topLinePunct w:val="0"/>
        <w:autoSpaceDE/>
        <w:autoSpaceDN/>
        <w:bidi w:val="0"/>
        <w:adjustRightInd/>
        <w:snapToGrid/>
        <w:ind w:firstLine="480" w:firstLineChars="200"/>
        <w:textAlignment w:val="auto"/>
        <w:outlineLvl w:val="0"/>
        <w:rPr>
          <w:rFonts w:hint="eastAsia"/>
        </w:rPr>
      </w:pPr>
    </w:p>
    <w:p w14:paraId="70167BE1">
      <w:pPr>
        <w:keepNext w:val="0"/>
        <w:keepLines w:val="0"/>
        <w:pageBreakBefore w:val="0"/>
        <w:widowControl/>
        <w:kinsoku/>
        <w:wordWrap/>
        <w:overflowPunct/>
        <w:topLinePunct w:val="0"/>
        <w:autoSpaceDE/>
        <w:autoSpaceDN/>
        <w:bidi w:val="0"/>
        <w:adjustRightInd/>
        <w:snapToGrid/>
        <w:textAlignment w:val="auto"/>
        <w:outlineLvl w:val="0"/>
        <w:rPr>
          <w:b/>
          <w:sz w:val="28"/>
          <w:szCs w:val="28"/>
        </w:rPr>
      </w:pPr>
      <w:r>
        <w:rPr>
          <w:rFonts w:hint="eastAsia"/>
          <w:b/>
          <w:sz w:val="28"/>
          <w:szCs w:val="28"/>
        </w:rPr>
        <w:t>十一、废止现行相关标准的建议</w:t>
      </w:r>
    </w:p>
    <w:p w14:paraId="28956847">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lang w:val="en-US" w:eastAsia="zh-CN"/>
        </w:rPr>
      </w:pPr>
      <w:r>
        <w:rPr>
          <w:rFonts w:hint="eastAsia"/>
          <w:i w:val="0"/>
          <w:iCs/>
          <w:lang w:val="en-US" w:eastAsia="zh-CN"/>
        </w:rPr>
        <w:t>无</w:t>
      </w:r>
    </w:p>
    <w:p w14:paraId="1C9C3AB5">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lang w:val="en-US" w:eastAsia="zh-CN"/>
        </w:rPr>
      </w:pPr>
    </w:p>
    <w:p w14:paraId="2E27B981">
      <w:pPr>
        <w:outlineLvl w:val="0"/>
        <w:rPr>
          <w:b/>
          <w:sz w:val="28"/>
          <w:szCs w:val="28"/>
        </w:rPr>
      </w:pPr>
      <w:r>
        <w:rPr>
          <w:rFonts w:hint="eastAsia"/>
          <w:b/>
          <w:sz w:val="28"/>
          <w:szCs w:val="28"/>
        </w:rPr>
        <w:t>十二、其他应予说明的事项</w:t>
      </w:r>
    </w:p>
    <w:p w14:paraId="48B50C69">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eastAsia="宋体"/>
          <w:i w:val="0"/>
          <w:iCs/>
          <w:lang w:val="en-US" w:eastAsia="zh-CN"/>
        </w:rPr>
      </w:pPr>
      <w:r>
        <w:rPr>
          <w:rFonts w:hint="eastAsia"/>
        </w:rPr>
        <w:t>本标准内容随着国内外更多试验的开展与认识水平的提高，仍有发展改进空间。</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9"/>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321F95BD"/>
    <w:multiLevelType w:val="singleLevel"/>
    <w:tmpl w:val="321F95BD"/>
    <w:lvl w:ilvl="0" w:tentative="0">
      <w:start w:val="2"/>
      <w:numFmt w:val="decimal"/>
      <w:suff w:val="nothing"/>
      <w:lvlText w:val="（%1）"/>
      <w:lvlJc w:val="left"/>
    </w:lvl>
  </w:abstractNum>
  <w:abstractNum w:abstractNumId="2">
    <w:nsid w:val="3FCB51F3"/>
    <w:multiLevelType w:val="singleLevel"/>
    <w:tmpl w:val="3FCB51F3"/>
    <w:lvl w:ilvl="0" w:tentative="0">
      <w:start w:val="1"/>
      <w:numFmt w:val="decimal"/>
      <w:suff w:val="nothing"/>
      <w:lvlText w:val="（%1）"/>
      <w:lvlJc w:val="left"/>
    </w:lvl>
  </w:abstractNum>
  <w:abstractNum w:abstractNumId="3">
    <w:nsid w:val="4E636636"/>
    <w:multiLevelType w:val="singleLevel"/>
    <w:tmpl w:val="4E636636"/>
    <w:lvl w:ilvl="0" w:tentative="0">
      <w:start w:val="1"/>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016C71F3"/>
    <w:rsid w:val="02AD020B"/>
    <w:rsid w:val="0C0F534B"/>
    <w:rsid w:val="0CDB6E4B"/>
    <w:rsid w:val="1074257D"/>
    <w:rsid w:val="11537A4D"/>
    <w:rsid w:val="135E4481"/>
    <w:rsid w:val="151C54CF"/>
    <w:rsid w:val="160B6B83"/>
    <w:rsid w:val="169F60E0"/>
    <w:rsid w:val="17DC518D"/>
    <w:rsid w:val="1BCF2401"/>
    <w:rsid w:val="23952182"/>
    <w:rsid w:val="23BA5744"/>
    <w:rsid w:val="2ABF1892"/>
    <w:rsid w:val="2EA909E9"/>
    <w:rsid w:val="30880846"/>
    <w:rsid w:val="30DF4ADE"/>
    <w:rsid w:val="32443A1C"/>
    <w:rsid w:val="326E3A6B"/>
    <w:rsid w:val="331652F7"/>
    <w:rsid w:val="38E56878"/>
    <w:rsid w:val="3DBF345B"/>
    <w:rsid w:val="43C158AB"/>
    <w:rsid w:val="44FA7D8D"/>
    <w:rsid w:val="45D71D2E"/>
    <w:rsid w:val="4A4C6847"/>
    <w:rsid w:val="4B29302C"/>
    <w:rsid w:val="4C7F1BA5"/>
    <w:rsid w:val="4E266109"/>
    <w:rsid w:val="50D646E8"/>
    <w:rsid w:val="512E4DE2"/>
    <w:rsid w:val="518950D2"/>
    <w:rsid w:val="59FA43F0"/>
    <w:rsid w:val="5DB849E3"/>
    <w:rsid w:val="5DDE0F2D"/>
    <w:rsid w:val="5F8D2546"/>
    <w:rsid w:val="5FA81DB8"/>
    <w:rsid w:val="61C219D1"/>
    <w:rsid w:val="65A26342"/>
    <w:rsid w:val="666643AD"/>
    <w:rsid w:val="702568F1"/>
    <w:rsid w:val="703815E3"/>
    <w:rsid w:val="74F45EE3"/>
    <w:rsid w:val="75845151"/>
    <w:rsid w:val="7AAC00DA"/>
    <w:rsid w:val="7EB62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paragraph" w:styleId="2">
    <w:name w:val="heading 1"/>
    <w:basedOn w:val="1"/>
    <w:next w:val="1"/>
    <w:link w:val="7"/>
    <w:qFormat/>
    <w:uiPriority w:val="9"/>
    <w:pPr>
      <w:keepNext/>
      <w:keepLines/>
      <w:adjustRightInd w:val="0"/>
      <w:spacing w:before="340" w:after="330" w:line="578" w:lineRule="auto"/>
      <w:outlineLvl w:val="0"/>
    </w:pPr>
    <w:rPr>
      <w:rFonts w:ascii="Calibri" w:hAnsi="Calibri" w:eastAsia="宋体" w:cs="Times New Roman"/>
      <w:b/>
      <w:bCs/>
      <w:kern w:val="44"/>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 w:type="paragraph" w:customStyle="1" w:styleId="6">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7">
    <w:name w:val="标题 1 Char"/>
    <w:basedOn w:val="4"/>
    <w:link w:val="2"/>
    <w:qFormat/>
    <w:uiPriority w:val="9"/>
    <w:rPr>
      <w:rFonts w:ascii="Calibri" w:hAnsi="Calibri" w:eastAsia="宋体" w:cs="Times New Roman"/>
      <w:b/>
      <w:bCs/>
      <w:kern w:val="44"/>
      <w:sz w:val="44"/>
      <w:szCs w:val="44"/>
    </w:rPr>
  </w:style>
  <w:style w:type="paragraph" w:customStyle="1" w:styleId="8">
    <w:name w:val="Default"/>
    <w:uiPriority w:val="0"/>
    <w:pPr>
      <w:widowControl w:val="0"/>
      <w:autoSpaceDE w:val="0"/>
      <w:autoSpaceDN w:val="0"/>
      <w:adjustRightInd w:val="0"/>
      <w:spacing w:line="240" w:lineRule="auto"/>
    </w:pPr>
    <w:rPr>
      <w:rFonts w:ascii="宋体" w:hAnsi="Calibri" w:eastAsia="宋体" w:cs="Times New Roman"/>
      <w:color w:val="000000"/>
      <w:kern w:val="0"/>
      <w:sz w:val="24"/>
      <w:szCs w:val="24"/>
      <w:lang w:val="en-US" w:eastAsia="zh-CN" w:bidi="ar-SA"/>
    </w:rPr>
  </w:style>
  <w:style w:type="paragraph" w:customStyle="1" w:styleId="9">
    <w:name w:val="一级条标题"/>
    <w:next w:val="10"/>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2765</Words>
  <Characters>2884</Characters>
  <Lines>8</Lines>
  <Paragraphs>2</Paragraphs>
  <TotalTime>0</TotalTime>
  <ScaleCrop>false</ScaleCrop>
  <LinksUpToDate>false</LinksUpToDate>
  <CharactersWithSpaces>2892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张宝亮</cp:lastModifiedBy>
  <dcterms:modified xsi:type="dcterms:W3CDTF">2025-11-06T04:13:44Z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eyJoZGlkIjoiMDgxZTk4NmFmNjM5N2YwN2RhOTBkODgyNWFhYjFlYjgiLCJ1c2VySWQiOiI2NDU4NzUwODAifQ==</vt:lpwstr>
  </property>
  <property fmtid="{D5CDD505-2E9C-101B-9397-08002B2CF9AE}" pid="3" name="KSOProductBuildVer">
    <vt:lpwstr>2052-12.1.0.23125</vt:lpwstr>
  </property>
  <property fmtid="{D5CDD505-2E9C-101B-9397-08002B2CF9AE}" pid="4" name="ICV">
    <vt:lpwstr>1EE8E827CE58456DB90641C2FD7424FD_12</vt:lpwstr>
  </property>
</Properties>
</file>